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62" w:rsidRDefault="00743A62" w:rsidP="00743A62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ترم بندی ارشد بهداشت و ایمنی مواد غذایی</w:t>
      </w:r>
      <w:r>
        <w:rPr>
          <w:rFonts w:cs="B Titr"/>
          <w:sz w:val="24"/>
          <w:szCs w:val="24"/>
        </w:rPr>
        <w:t>-</w:t>
      </w:r>
      <w:r>
        <w:rPr>
          <w:rFonts w:cs="B Titr" w:hint="cs"/>
          <w:sz w:val="24"/>
          <w:szCs w:val="24"/>
          <w:rtl/>
        </w:rPr>
        <w:t xml:space="preserve"> تجدید نظر تیر ماه 1403</w:t>
      </w:r>
    </w:p>
    <w:tbl>
      <w:tblPr>
        <w:tblStyle w:val="TableGrid"/>
        <w:bidiVisual/>
        <w:tblW w:w="5481" w:type="pct"/>
        <w:jc w:val="center"/>
        <w:tblLook w:val="04A0" w:firstRow="1" w:lastRow="0" w:firstColumn="1" w:lastColumn="0" w:noHBand="0" w:noVBand="1"/>
      </w:tblPr>
      <w:tblGrid>
        <w:gridCol w:w="2417"/>
        <w:gridCol w:w="15"/>
        <w:gridCol w:w="655"/>
        <w:gridCol w:w="770"/>
        <w:gridCol w:w="1694"/>
        <w:gridCol w:w="2278"/>
        <w:gridCol w:w="762"/>
        <w:gridCol w:w="669"/>
        <w:gridCol w:w="971"/>
        <w:gridCol w:w="18"/>
      </w:tblGrid>
      <w:tr w:rsidR="00743A62" w:rsidTr="00743A62">
        <w:trPr>
          <w:trHeight w:val="245"/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1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ترم2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</w:tr>
      <w:tr w:rsidR="00743A62" w:rsidTr="00743A62">
        <w:trPr>
          <w:trHeight w:val="50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FF0000"/>
                <w:sz w:val="24"/>
                <w:szCs w:val="24"/>
                <w:rtl/>
              </w:rPr>
              <w:t>سيستم هاي اطلاع رساني پزشكي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اپيدميولوژي و روشهاي ارزيابي خطر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45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ايمني شيميايي مواد غذايي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طبیبی آذر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سيستم هاي مديريت ايمني غذا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489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بهداشت و ايمني شير و فرآورده ها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همایونی-دکتر تربتی-دکتر احسانی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ايمني آب آشامیدنی و نوشیدنیها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45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bookmarkStart w:id="0" w:name="_GoBack" w:colFirst="4" w:colLast="7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ايمني غلات، ميوه و سبزي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محمودزاده- دکتر تربتی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70AD47" w:themeColor="accent6"/>
                <w:sz w:val="24"/>
                <w:szCs w:val="24"/>
                <w:rtl/>
              </w:rPr>
              <w:t>زبان تخصصی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70AD47" w:themeColor="accent6"/>
                <w:sz w:val="24"/>
                <w:szCs w:val="24"/>
                <w:rtl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</w:p>
        </w:tc>
      </w:tr>
      <w:bookmarkEnd w:id="0"/>
      <w:tr w:rsidR="00743A62" w:rsidTr="00743A62">
        <w:trPr>
          <w:trHeight w:val="50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70AD47" w:themeColor="accent6"/>
                <w:sz w:val="24"/>
                <w:szCs w:val="24"/>
                <w:rtl/>
              </w:rPr>
              <w:t>استانداردها و قوانين مواد غذايي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70AD47" w:themeColor="accent6"/>
                <w:sz w:val="24"/>
                <w:szCs w:val="24"/>
                <w:rtl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70AD47" w:themeColor="accent6"/>
                <w:sz w:val="24"/>
                <w:szCs w:val="24"/>
                <w:rtl/>
              </w:rPr>
              <w:t>دکتر تربتی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ایمنی و کیفیت روغن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>ها و چربی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softHyphen/>
              <w:t>های خوراکی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489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ايمني و كيفيت گوشت و فرآورده ها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احسانی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عفونت مسمومیت میکروبی مواد غذایی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50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تحقیق و روش مقاله نویسی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دکتر همایونی-دکتر توتونچی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70AD47" w:themeColor="accent6"/>
                <w:sz w:val="24"/>
                <w:szCs w:val="24"/>
                <w:rtl/>
              </w:rPr>
              <w:t>روشهای تجزیه دستگاهی مواد غذایی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cs="B Nazanin" w:hint="cs"/>
                <w:color w:val="70AD47" w:themeColor="accent6"/>
                <w:sz w:val="24"/>
                <w:szCs w:val="24"/>
                <w:rtl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70AD47" w:themeColor="accent6"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70AD47" w:themeColor="accent6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50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کنترل کیفی آماری مواد غذایی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دکنر محمودزاده دکتر قاسمپور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45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45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واحد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  <w:tr w:rsidR="00743A62" w:rsidTr="00743A62">
        <w:trPr>
          <w:trHeight w:val="245"/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3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ترم4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62" w:rsidRDefault="00743A62">
            <w:pPr>
              <w:spacing w:line="240" w:lineRule="auto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</w:tr>
      <w:tr w:rsidR="00743A62" w:rsidTr="00743A62">
        <w:trPr>
          <w:trHeight w:val="35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پایان نامه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trHeight w:val="353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BA2F18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>اصول مبانی مدیریت خطر حوادث و بلایا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BA2F18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Pr="00BA2F18" w:rsidRDefault="00BA2F18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</w:pPr>
            <w:r w:rsidRPr="00BA2F18">
              <w:rPr>
                <w:rFonts w:asciiTheme="majorBidi" w:hAnsiTheme="majorBidi" w:cs="B Nazanin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43A62" w:rsidTr="00743A62">
        <w:trPr>
          <w:gridAfter w:val="1"/>
          <w:wAfter w:w="8" w:type="pct"/>
          <w:trHeight w:val="304"/>
          <w:jc w:val="center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 کل</w:t>
            </w:r>
          </w:p>
        </w:tc>
        <w:tc>
          <w:tcPr>
            <w:tcW w:w="38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743A62" w:rsidRDefault="00743A62">
            <w:pPr>
              <w:spacing w:line="240" w:lineRule="auto"/>
              <w:jc w:val="center"/>
              <w:rPr>
                <w:rFonts w:asciiTheme="majorBidi" w:hAnsi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37=6+15</w:t>
            </w:r>
            <w:r>
              <w:rPr>
                <w:rFonts w:asciiTheme="majorBidi" w:hAnsiTheme="majorBidi" w:cs="Times New Roman"/>
                <w:color w:val="000000" w:themeColor="text1"/>
                <w:sz w:val="24"/>
                <w:szCs w:val="24"/>
                <w:rtl/>
              </w:rPr>
              <w:t>+</w:t>
            </w: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</w:tr>
    </w:tbl>
    <w:p w:rsidR="00BA2F18" w:rsidRDefault="00BA2F18" w:rsidP="00BA2F18">
      <w:pPr>
        <w:rPr>
          <w:rFonts w:cs="B Nazanin"/>
          <w:color w:val="FF0000"/>
          <w:sz w:val="24"/>
          <w:szCs w:val="24"/>
        </w:rPr>
      </w:pPr>
      <w:r>
        <w:rPr>
          <w:rFonts w:cs="B Nazanin" w:hint="cs"/>
          <w:color w:val="FF0000"/>
          <w:sz w:val="24"/>
          <w:szCs w:val="24"/>
          <w:rtl/>
        </w:rPr>
        <w:t>*دروس جبرانی</w:t>
      </w:r>
    </w:p>
    <w:p w:rsidR="00BA2F18" w:rsidRDefault="00BA2F18" w:rsidP="00BA2F18">
      <w:pPr>
        <w:rPr>
          <w:rFonts w:cs="B Nazanin" w:hint="cs"/>
          <w:color w:val="00B050"/>
          <w:sz w:val="24"/>
          <w:szCs w:val="24"/>
          <w:rtl/>
        </w:rPr>
      </w:pPr>
      <w:r>
        <w:rPr>
          <w:rFonts w:cs="B Nazanin" w:hint="cs"/>
          <w:color w:val="00B050"/>
          <w:sz w:val="24"/>
          <w:szCs w:val="24"/>
          <w:rtl/>
        </w:rPr>
        <w:t>* دروس اختیاری</w:t>
      </w:r>
    </w:p>
    <w:p w:rsidR="00BA2F18" w:rsidRDefault="00BA2F18" w:rsidP="00BA2F18">
      <w:pPr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میانگین نمرات نیمسال تحصیلی نباید زیر 14 باشد.</w:t>
      </w:r>
    </w:p>
    <w:p w:rsidR="00BA2F18" w:rsidRDefault="00BA2F18" w:rsidP="00BA2F18">
      <w:pPr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حداقل نمره قبولی دروس اختیاری و اختصاصی 14 از 20 می باشد.</w:t>
      </w:r>
    </w:p>
    <w:p w:rsidR="00BA2F18" w:rsidRDefault="00BA2F18" w:rsidP="00BA2F18">
      <w:pPr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حداقل نمره قبولی دروس جبرانی 12 از 20 می باشد و نمرات آن جزو میانگین نیمسال نخواهد بود.</w:t>
      </w:r>
    </w:p>
    <w:p w:rsidR="009E0E77" w:rsidRDefault="009E0E77"/>
    <w:sectPr w:rsidR="009E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10"/>
    <w:rsid w:val="00743A62"/>
    <w:rsid w:val="009E0E77"/>
    <w:rsid w:val="00A13010"/>
    <w:rsid w:val="00BA2F18"/>
    <w:rsid w:val="00E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FA7221E-0C8C-4EEF-9417-C8DF80C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62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A6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2024-08-26T05:01:00Z</dcterms:created>
  <dcterms:modified xsi:type="dcterms:W3CDTF">2024-08-26T05:12:00Z</dcterms:modified>
</cp:coreProperties>
</file>